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0"/>
        <w:ind w:left="0" w:hanging="0"/>
        <w:jc w:val="right"/>
        <w:rPr/>
      </w:pPr>
      <w:r>
        <w:rPr/>
        <w:t>Załącznik Nr 3</w:t>
      </w:r>
    </w:p>
    <w:p>
      <w:pPr>
        <w:pStyle w:val="Normal"/>
        <w:spacing w:lineRule="auto" w:line="259" w:before="0" w:after="0"/>
        <w:ind w:left="0" w:hanging="0"/>
        <w:jc w:val="center"/>
        <w:rPr/>
      </w:pPr>
      <w:r>
        <w:rPr/>
      </w:r>
    </w:p>
    <w:p>
      <w:pPr>
        <w:pStyle w:val="Normal"/>
        <w:spacing w:lineRule="auto" w:line="259" w:before="0" w:after="0"/>
        <w:ind w:left="0" w:hanging="0"/>
        <w:jc w:val="center"/>
        <w:rPr/>
      </w:pPr>
      <w:r>
        <w:rPr/>
      </w:r>
    </w:p>
    <w:p>
      <w:pPr>
        <w:pStyle w:val="Normal"/>
        <w:spacing w:lineRule="auto" w:line="259" w:before="0" w:after="0"/>
        <w:ind w:left="0" w:hanging="0"/>
        <w:jc w:val="center"/>
        <w:rPr/>
      </w:pPr>
      <w:r>
        <w:rPr>
          <w:rFonts w:cs="Arial"/>
          <w:b/>
          <w:color w:val="000000" w:themeColor="text1"/>
          <w:szCs w:val="24"/>
        </w:rPr>
        <w:t xml:space="preserve">FORMULARZ WYMAGAŃ ZAMAWIAJĄCEGO DOTYCZĄCYCH PARAMETRÓW TECHNICZNYCH I WYPOSAŻENIA </w:t>
      </w:r>
    </w:p>
    <w:p>
      <w:pPr>
        <w:pStyle w:val="Normal"/>
        <w:spacing w:lineRule="auto" w:line="259" w:before="0" w:after="0"/>
        <w:ind w:left="0" w:hanging="0"/>
        <w:jc w:val="center"/>
        <w:rPr/>
      </w:pPr>
      <w:r>
        <w:rPr>
          <w:rFonts w:cs="Arial"/>
          <w:b/>
          <w:color w:val="000000" w:themeColor="text1"/>
          <w:szCs w:val="24"/>
        </w:rPr>
        <w:t xml:space="preserve">przedmiotu zamówienia realizowanego pn.: Dostawa samochodu dostawczego  z silnikiem diesla na potrzeby Dziennego Domu Pomocy Społecznej w Białymstoku przy ul.Nowogródzkiej 5/1 </w:t>
      </w:r>
    </w:p>
    <w:p>
      <w:pPr>
        <w:pStyle w:val="Western"/>
        <w:spacing w:before="280" w:after="0"/>
        <w:rPr/>
      </w:pPr>
      <w:r>
        <w:rPr>
          <w:rFonts w:cs="Arial"/>
          <w:bCs/>
          <w:color w:val="auto"/>
          <w:sz w:val="24"/>
          <w:szCs w:val="24"/>
        </w:rPr>
        <w:t>Prawą stronę tabeli (kol. 3) należy wypełnić stosując słowa „spełnia” lub „nie spełnia”, zaś w przypadku wyższych wartości niż minimalne - wykazane w tabeli - należy wpisać oferowane wartości techniczno-użytkowe. W przypadku, gdy Wykonawca zaproponuje produkt równoważny – informacje dotyczące proponowanych rozwiązań równoważnych musi podać w kol. 3 oraz wykazać, że spełniają one wymagania Zamawiającego.</w:t>
      </w:r>
    </w:p>
    <w:p>
      <w:pPr>
        <w:pStyle w:val="Western"/>
        <w:spacing w:beforeAutospacing="0" w:before="0" w:after="0"/>
        <w:rPr/>
      </w:pPr>
      <w:r>
        <w:rPr>
          <w:rFonts w:cs="Arial"/>
          <w:bCs/>
          <w:color w:val="auto"/>
          <w:sz w:val="24"/>
          <w:szCs w:val="24"/>
        </w:rPr>
        <w:t>W przypadku, gdy Wykonawca w którejkolwiek z pozycji wpisze słowa „nie spełnia” lub zaoferuje niższe wartości oferta zostanie odrzucona, gdyż jej treść jest niezgodna z warunkami zamówienia.</w:t>
      </w:r>
    </w:p>
    <w:p>
      <w:pPr>
        <w:pStyle w:val="Normal"/>
        <w:spacing w:lineRule="auto" w:line="259" w:before="0" w:after="0"/>
        <w:ind w:left="0" w:hanging="0"/>
        <w:rPr>
          <w:rFonts w:cs="Arial"/>
          <w:color w:val="000000" w:themeColor="text1"/>
          <w:sz w:val="22"/>
        </w:rPr>
      </w:pPr>
      <w:r>
        <w:rPr>
          <w:rFonts w:cs="Arial"/>
          <w:color w:val="000000" w:themeColor="text1"/>
          <w:sz w:val="22"/>
        </w:rPr>
      </w:r>
    </w:p>
    <w:tbl>
      <w:tblPr>
        <w:tblW w:w="15310" w:type="dxa"/>
        <w:jc w:val="left"/>
        <w:tblInd w:w="-713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823"/>
        <w:gridCol w:w="8"/>
        <w:gridCol w:w="20"/>
        <w:gridCol w:w="10772"/>
        <w:gridCol w:w="3687"/>
      </w:tblGrid>
      <w:tr>
        <w:trPr>
          <w:trHeight w:val="749" w:hRule="atLeast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Lp.</w:t>
            </w:r>
          </w:p>
        </w:tc>
        <w:tc>
          <w:tcPr>
            <w:tcW w:w="10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Wymagane parametry techniczno-użytkowe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70" w:right="-70" w:hanging="10"/>
              <w:jc w:val="center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Wypełnia Wykonawca podając wymagane informacje lub parametry albo potwierdzając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0" w:right="-70" w:hanging="10"/>
              <w:jc w:val="center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spełnienie warunków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0" w:right="-70" w:hanging="10"/>
              <w:jc w:val="center"/>
              <w:rPr>
                <w:rFonts w:cs="Arial"/>
                <w:b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-70" w:right="-70" w:hanging="10"/>
              <w:jc w:val="center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W przypadku, </w:t>
            </w:r>
            <w:r>
              <w:rPr>
                <w:rFonts w:cs="Arial"/>
                <w:b/>
                <w:sz w:val="20"/>
                <w:szCs w:val="20"/>
                <w:u w:val="single"/>
              </w:rPr>
              <w:t>gdy</w:t>
            </w:r>
            <w:r>
              <w:rPr>
                <w:rFonts w:cs="Arial"/>
                <w:b/>
                <w:sz w:val="20"/>
                <w:szCs w:val="20"/>
              </w:rPr>
              <w:t xml:space="preserve"> zaznaczono, że </w:t>
            </w:r>
            <w:r>
              <w:rPr>
                <w:rFonts w:cs="Arial"/>
                <w:b/>
                <w:sz w:val="20"/>
                <w:szCs w:val="20"/>
                <w:u w:val="single"/>
              </w:rPr>
              <w:t>sprzęt nie wchodzi w zakres</w:t>
            </w:r>
            <w:r>
              <w:rPr>
                <w:rFonts w:cs="Arial"/>
                <w:b/>
                <w:sz w:val="20"/>
                <w:szCs w:val="20"/>
              </w:rPr>
              <w:t xml:space="preserve"> przedmiotu zamówienia </w:t>
            </w:r>
            <w:r>
              <w:rPr>
                <w:rFonts w:cs="Arial"/>
                <w:b/>
                <w:sz w:val="20"/>
                <w:szCs w:val="20"/>
                <w:u w:val="single"/>
              </w:rPr>
              <w:t>należy</w:t>
            </w:r>
            <w:r>
              <w:rPr>
                <w:rFonts w:cs="Arial"/>
                <w:b/>
                <w:sz w:val="20"/>
                <w:szCs w:val="20"/>
              </w:rPr>
              <w:t xml:space="preserve"> dla niego </w:t>
            </w:r>
            <w:r>
              <w:rPr>
                <w:rFonts w:cs="Arial"/>
                <w:b/>
                <w:sz w:val="20"/>
                <w:szCs w:val="20"/>
                <w:u w:val="single"/>
              </w:rPr>
              <w:t>przygotować miejsce</w:t>
            </w:r>
            <w:r>
              <w:rPr>
                <w:rFonts w:cs="Arial"/>
                <w:b/>
                <w:sz w:val="20"/>
                <w:szCs w:val="20"/>
              </w:rPr>
              <w:t xml:space="preserve"> w zabudowie pojazdu i nie należy doliczać jego wartości do ceny samochodu</w:t>
            </w:r>
          </w:p>
        </w:tc>
      </w:tr>
      <w:tr>
        <w:trPr>
          <w:trHeight w:val="98" w:hRule="atLeast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1</w:t>
            </w:r>
          </w:p>
        </w:tc>
        <w:tc>
          <w:tcPr>
            <w:tcW w:w="10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3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1. Wymagania ogólne</w:t>
            </w:r>
          </w:p>
        </w:tc>
      </w:tr>
      <w:tr>
        <w:trPr>
          <w:trHeight w:val="1100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1.1.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 xml:space="preserve">Pojazd spełnia wymagania polskich przepisów o ruchu drogowym,  zgodnie z ustawą z dnia 20 czerwca 1997 r. Prawo o ruchu drogowym </w:t>
            </w:r>
            <w:r>
              <w:rPr>
                <w:rFonts w:cs="Arial"/>
                <w:color w:val="000000" w:themeColor="text1"/>
                <w:kern w:val="0"/>
                <w:szCs w:val="24"/>
                <w:shd w:fill="FFFFFF" w:val="clear"/>
                <w14:ligatures w14:val="none"/>
              </w:rPr>
              <w:t>(Dz</w:t>
            </w:r>
            <w:r>
              <w:rPr>
                <w:rFonts w:cs="Arial"/>
                <w:color w:val="000000" w:themeColor="text1"/>
                <w:kern w:val="0"/>
                <w:szCs w:val="24"/>
                <w14:ligatures w14:val="none"/>
              </w:rPr>
              <w:t>. U. z 2024 r., poz. 1251),</w:t>
            </w:r>
            <w:r>
              <w:rPr>
                <w:rFonts w:cs="Arial"/>
                <w:color w:val="000000" w:themeColor="text1"/>
                <w:szCs w:val="24"/>
                <w:shd w:fill="FFFFFF" w:val="clear"/>
              </w:rPr>
              <w:t xml:space="preserve"> wraz z przepisami wykonawczymi do ustawy</w:t>
            </w:r>
            <w:r>
              <w:rPr>
                <w:rFonts w:cs="Arial"/>
                <w:color w:val="000000" w:themeColor="text1"/>
                <w:szCs w:val="24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1009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43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ind w:left="0" w:hanging="0"/>
              <w:rPr/>
            </w:pPr>
            <w:r>
              <w:rPr>
                <w:rFonts w:cs="Arial"/>
                <w:color w:val="auto"/>
                <w:szCs w:val="24"/>
              </w:rPr>
              <w:t xml:space="preserve">Pojazd jest </w:t>
            </w:r>
            <w:r>
              <w:rPr>
                <w:rFonts w:cs="Arial"/>
                <w:color w:val="000000" w:themeColor="text1"/>
                <w:szCs w:val="24"/>
              </w:rPr>
              <w:t>fabrycznie nowy -  rok produkcji nie wcześniej niż 2026, nieużywany, niezarejestrowany, kompletny oraz wolny od wad fabrycznych i prawnych, zgodny z dokumentacją techniczną producenta,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1009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1.2.</w:t>
            </w:r>
          </w:p>
        </w:tc>
        <w:tc>
          <w:tcPr>
            <w:tcW w:w="108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20"/>
              <w:rPr/>
            </w:pPr>
            <w:r>
              <w:rPr>
                <w:rFonts w:cs="Arial"/>
              </w:rPr>
              <w:t>Pojazd spełnia wymagania Rozporządzenia Ministra Infrastruktury z dnia 31 grudnia 2002 r. w sprawie warunków technicznych pojazdów oraz zakresu ich niezbędnego wyposażenia (t.j. Dz. U. z 2024 r. poz. 502).</w:t>
            </w:r>
          </w:p>
          <w:p>
            <w:pPr>
              <w:pStyle w:val="Normal"/>
              <w:widowControl w:val="false"/>
              <w:spacing w:lineRule="exact" w:line="320" w:before="0" w:after="4"/>
              <w:rPr>
                <w:rFonts w:cs="Arial"/>
                <w:color w:val="FF0000"/>
                <w:szCs w:val="24"/>
              </w:rPr>
            </w:pPr>
            <w:r>
              <w:rPr>
                <w:rFonts w:cs="Arial"/>
                <w:color w:val="FF0000"/>
                <w:szCs w:val="24"/>
              </w:rPr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274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1.3.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16" w:leader="none"/>
              </w:tabs>
              <w:spacing w:lineRule="auto" w:line="240" w:before="0" w:after="0"/>
              <w:rPr/>
            </w:pPr>
            <w:r>
              <w:rPr>
                <w:rFonts w:cs="Arial"/>
                <w:color w:val="auto"/>
                <w:szCs w:val="24"/>
              </w:rPr>
              <w:t>Pojazd spełnia normę EURO 6 dla emisji zanieczyszczeń: tlenków azotu, cząstek stałych oraz węglowodorów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bCs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b/>
                <w:bCs/>
              </w:rPr>
              <w:t>Nie spełnia</w:t>
            </w:r>
          </w:p>
        </w:tc>
      </w:tr>
      <w:tr>
        <w:trPr>
          <w:trHeight w:val="274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1.4.</w:t>
            </w:r>
          </w:p>
        </w:tc>
        <w:tc>
          <w:tcPr>
            <w:tcW w:w="108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16" w:leader="none"/>
              </w:tabs>
              <w:spacing w:lineRule="auto" w:line="240" w:before="0" w:after="0"/>
              <w:rPr/>
            </w:pPr>
            <w:r>
              <w:rPr>
                <w:rFonts w:cs="Arial"/>
                <w:color w:val="auto"/>
                <w:szCs w:val="24"/>
              </w:rPr>
              <w:t>Zmiany adaptacyjne pojazdu, dotyczące montażu wyposażenia, nie mogą powodować utraty ani ograniczać uprawnień wynikających z fabrycznej gwarancji mechanicznej.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16" w:leader="none"/>
              </w:tabs>
              <w:spacing w:lineRule="auto" w:line="240" w:before="0" w:after="0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lineRule="auto" w:line="240" w:before="0" w:after="0"/>
              <w:ind w:left="72" w:hanging="10"/>
              <w:jc w:val="center"/>
              <w:outlineLvl w:val="1"/>
              <w:rPr/>
            </w:pPr>
            <w:r>
              <w:rPr>
                <w:rFonts w:cs="Arial"/>
                <w:b/>
                <w:szCs w:val="24"/>
              </w:rPr>
              <w:t>2. Nadwozie</w:t>
            </w:r>
          </w:p>
        </w:tc>
      </w:tr>
      <w:tr>
        <w:trPr>
          <w:trHeight w:val="543" w:hRule="atLeast"/>
        </w:trPr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szCs w:val="24"/>
              </w:rPr>
              <w:t>2.1.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>Pojazd bazowy fabrycznie nowy, rok produkcji nie wcześniej niż 2026.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000000" w:themeColor="text1"/>
                <w:szCs w:val="24"/>
              </w:rPr>
              <w:t>Podać producenta, typ i model pojazdu bazowego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color w:val="000000" w:themeColor="text1"/>
                <w:szCs w:val="24"/>
              </w:rPr>
              <w:t>2.2.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>Pojazd typu furgon z przestrzenią ładunkową, przeznaczony do przewożenia 3 osób wraz z kierowcą,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/>
              <w:t>2.3.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both"/>
              <w:rPr/>
            </w:pPr>
            <w:r>
              <w:rPr>
                <w:rFonts w:cs="Arial"/>
                <w:color w:val="auto"/>
              </w:rPr>
              <w:t>Wymiary, masy i pojemności pojazdu: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jc w:val="both"/>
              <w:rPr/>
            </w:pPr>
            <w:r>
              <w:rPr>
                <w:rFonts w:cs="Arial"/>
                <w:color w:val="auto"/>
              </w:rPr>
              <w:t>szerokość przestrzeni ładunkowej mierzona na wysokości podłogi w najwęższym miejscu – 1300 mm - 1800mm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jc w:val="both"/>
              <w:rPr/>
            </w:pPr>
            <w:r>
              <w:rPr>
                <w:rFonts w:cs="Arial"/>
                <w:color w:val="auto"/>
              </w:rPr>
              <w:t>długość przestrzeni ładunkowej –  2700mm - 3100 mm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jc w:val="both"/>
              <w:rPr/>
            </w:pPr>
            <w:r>
              <w:rPr>
                <w:rFonts w:cs="Arial"/>
                <w:color w:val="auto"/>
              </w:rPr>
              <w:t>dopuszczalna masa całkowita pojazdu: do 3500 kg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jc w:val="both"/>
              <w:rPr/>
            </w:pPr>
            <w:r>
              <w:rPr>
                <w:rFonts w:cs="Arial"/>
                <w:color w:val="auto"/>
              </w:rPr>
              <w:t>dopuszczalna ładowność pojazdu –  900 kg – 1350 kg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szCs w:val="24"/>
              </w:rPr>
              <w:t>2.4.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left="10" w:right="51" w:hanging="0"/>
              <w:rPr/>
            </w:pPr>
            <w:r>
              <w:rPr>
                <w:rFonts w:cs="Arial"/>
                <w:szCs w:val="24"/>
              </w:rPr>
              <w:t>Zabudowa przestrzeni ładunkowej powinna spełniać następujące parametry: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before="0" w:after="0"/>
              <w:ind w:left="355" w:right="51" w:hanging="283"/>
              <w:rPr/>
            </w:pPr>
            <w:r>
              <w:rPr>
                <w:rFonts w:cs="Arial"/>
                <w:sz w:val="24"/>
                <w:szCs w:val="24"/>
              </w:rPr>
              <w:t>drzwi tylne dwuskrzydłowe,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before="0" w:after="0"/>
              <w:ind w:left="355" w:right="51" w:hanging="283"/>
              <w:rPr/>
            </w:pPr>
            <w:r>
              <w:rPr>
                <w:rFonts w:cs="Arial"/>
                <w:sz w:val="24"/>
                <w:szCs w:val="24"/>
              </w:rPr>
              <w:t>przesuwne nieoszklone drzwi boczne lewe i prawe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before="0" w:after="0"/>
              <w:ind w:left="355" w:right="51" w:hanging="283"/>
              <w:rPr/>
            </w:pPr>
            <w:r>
              <w:rPr>
                <w:rFonts w:cs="Arial"/>
                <w:sz w:val="24"/>
                <w:szCs w:val="24"/>
              </w:rPr>
              <w:t>przegroda pomiędzy kabiną a przestrzenią ładunkową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szCs w:val="24"/>
              </w:rPr>
              <w:t>2.5.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tabs>
                <w:tab w:val="clear" w:pos="708"/>
                <w:tab w:val="left" w:pos="-2764" w:leader="none"/>
              </w:tabs>
              <w:spacing w:before="0" w:after="0"/>
              <w:ind w:left="72" w:right="51" w:hanging="0"/>
              <w:rPr/>
            </w:pPr>
            <w:r>
              <w:rPr>
                <w:sz w:val="24"/>
                <w:szCs w:val="24"/>
              </w:rPr>
              <w:t>Wnętrze przestrzeni ładunkowej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before="0" w:after="0"/>
              <w:ind w:left="355" w:right="51" w:hanging="283"/>
              <w:rPr/>
            </w:pPr>
            <w:r>
              <w:rPr>
                <w:rFonts w:cs="Arial"/>
                <w:sz w:val="24"/>
                <w:szCs w:val="24"/>
              </w:rPr>
              <w:t>zmywalne panele zabezpieczające ściany i drzwi przestrzeni ładunkowej do połowy wysokości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before="0" w:after="0"/>
              <w:ind w:left="355" w:right="51" w:hanging="283"/>
              <w:rPr/>
            </w:pPr>
            <w:r>
              <w:rPr>
                <w:rFonts w:cs="Arial"/>
                <w:sz w:val="24"/>
                <w:szCs w:val="24"/>
              </w:rPr>
              <w:t>podłoga wyłożona materiałem antypoślizgowym i zmywalnym</w:t>
            </w:r>
          </w:p>
          <w:p>
            <w:pPr>
              <w:pStyle w:val="Tretekstu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-2764" w:leader="none"/>
              </w:tabs>
              <w:spacing w:before="0" w:after="0"/>
              <w:ind w:left="355" w:right="51" w:hanging="283"/>
              <w:rPr/>
            </w:pPr>
            <w:r>
              <w:rPr>
                <w:rFonts w:cs="Arial"/>
                <w:sz w:val="24"/>
                <w:szCs w:val="24"/>
              </w:rPr>
              <w:t>uchwyty do mocowania ładunku minimum 6 szt.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/>
              <w:t>2.6.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tabs>
                <w:tab w:val="clear" w:pos="708"/>
                <w:tab w:val="left" w:pos="-2764" w:leader="none"/>
              </w:tabs>
              <w:spacing w:before="0" w:after="0"/>
              <w:ind w:left="72" w:right="51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Kierownica po lewej stronie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szCs w:val="24"/>
              </w:rPr>
              <w:t>2.7.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auto"/>
                <w:szCs w:val="24"/>
              </w:rPr>
              <w:t xml:space="preserve">Dodatkowy komplet 4 opon zimowych na oryginalnych felgach stalowych (z oryginalnymi kołpakami) lub aluminiowych przystosowanych do tego pojazdu min. 16 cali, zgodnych z rozmiarem zawartym w homologacji pojazdu. </w:t>
            </w:r>
            <w:r>
              <w:rPr>
                <w:rFonts w:cs="Arial"/>
                <w:color w:val="auto"/>
                <w:kern w:val="0"/>
                <w:szCs w:val="24"/>
                <w14:ligatures w14:val="none"/>
              </w:rPr>
              <w:t>Rok produkcji opon nie wcześniej niż 2026</w:t>
            </w:r>
            <w:r>
              <w:rPr>
                <w:rFonts w:cs="Arial"/>
                <w:color w:val="auto"/>
                <w:szCs w:val="24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szCs w:val="24"/>
              </w:rPr>
              <w:t>2.8.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Reflektory przednie wykonane w technologii LED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408" w:hRule="atLeast"/>
        </w:trPr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szCs w:val="24"/>
              </w:rPr>
              <w:t>2.9.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Światła do jazdy dziennej wykonane w technologii LED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right="-97" w:hanging="10"/>
              <w:rPr/>
            </w:pPr>
            <w:r>
              <w:rPr>
                <w:rFonts w:cs="Arial"/>
                <w:szCs w:val="24"/>
              </w:rPr>
              <w:t>2.10.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Lusterka zewnętrzne, regulowane i podgrzewane elektrycznie.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szCs w:val="24"/>
              </w:rPr>
              <w:t>2.11.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Elektrycznie sterowane szyby drzwi kabiny kierowcy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2.12.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Podgrzewana przednia szyba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b/>
                <w:bCs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szCs w:val="24"/>
              </w:rPr>
              <w:t>2.13.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 xml:space="preserve">Czujniki parkowania minimum z tyłu pojazdu </w:t>
            </w:r>
            <w:r>
              <w:rPr>
                <w:rFonts w:cs="Arial"/>
                <w:color w:val="000000" w:themeColor="text1"/>
                <w14:ligatures w14:val="none"/>
              </w:rPr>
              <w:t>z sygnalizacją akustyczną i wizualną, montowane na linii fabrycznej producenta pojazdu bazowego.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szCs w:val="24"/>
              </w:rPr>
              <w:t>2.14.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 xml:space="preserve">Kamera cofania </w:t>
            </w:r>
            <w:r>
              <w:rPr>
                <w:rFonts w:cs="Arial"/>
                <w:color w:val="000000" w:themeColor="text1"/>
                <w14:ligatures w14:val="none"/>
              </w:rPr>
              <w:t xml:space="preserve">montowana na linii fabrycznej </w:t>
            </w:r>
            <w:r>
              <w:rPr>
                <w:rFonts w:cs="Arial"/>
                <w:color w:val="000000" w:themeColor="text1"/>
                <w:szCs w:val="24"/>
                <w14:ligatures w14:val="none"/>
              </w:rPr>
              <w:t>producenta pojazdu bazowego,</w:t>
            </w:r>
            <w:r>
              <w:rPr>
                <w:rFonts w:cs="Arial"/>
                <w:color w:val="000000" w:themeColor="text1"/>
                <w:kern w:val="0"/>
                <w:szCs w:val="24"/>
                <w14:ligatures w14:val="none"/>
              </w:rPr>
              <w:t xml:space="preserve"> </w:t>
            </w:r>
            <w:r>
              <w:rPr>
                <w:rFonts w:cs="Arial"/>
                <w:color w:val="000000" w:themeColor="text1"/>
                <w:szCs w:val="24"/>
              </w:rPr>
              <w:t>włączająca się automatycznie po włączeniu biegu wstecznego, obraz z kamery wyświetlany na fabrycznym monitorze umiejscowionym w kabinie kierowcy.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szCs w:val="24"/>
              </w:rPr>
              <w:t>2.15.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" w:hanging="11"/>
              <w:rPr/>
            </w:pPr>
            <w:r>
              <w:rPr>
                <w:rFonts w:cs="Arial"/>
                <w:szCs w:val="24"/>
              </w:rPr>
              <w:t>Wnętrze kabiny pojazdu – pełne poszycie ścian bocznych materiałem odpornym na zabrudzenia i łatwym do utrzymania w czystości. Podsufitka tapicerowana.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" w:hanging="11"/>
              <w:rPr/>
            </w:pPr>
            <w:r>
              <w:rPr>
                <w:rFonts w:cs="Arial"/>
                <w:szCs w:val="24"/>
              </w:rPr>
              <w:t>Podłoga kabiny pojazdu wyłożona wykładziną odporną na zabrudzenia i łatwą do utrzymania w czystości.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2.16.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0" w:hanging="0"/>
              <w:rPr/>
            </w:pPr>
            <w:r>
              <w:rPr>
                <w:szCs w:val="24"/>
              </w:rPr>
              <w:t>W kabinie pojazdu -  podręczny schowek z drzwiczkami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bCs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b/>
                <w:bCs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>
                <w:rFonts w:cs="Arial"/>
                <w:szCs w:val="24"/>
              </w:rPr>
              <w:t>2.17.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widowControl w:val="false"/>
              <w:jc w:val="both"/>
              <w:rPr/>
            </w:pPr>
            <w:r>
              <w:rPr>
                <w:rFonts w:cs="Arial"/>
              </w:rPr>
              <w:t>Oświetlenie wnętrza kabiny z możliwością czytania.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rPr/>
            </w:pPr>
            <w:r>
              <w:rPr/>
              <w:t>2.18.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0" w:hanging="0"/>
              <w:rPr/>
            </w:pPr>
            <w:r>
              <w:rPr>
                <w:rFonts w:cs="Arial"/>
                <w:szCs w:val="24"/>
              </w:rPr>
              <w:t>Poduszki powietrzne w kabinie przednie dla kierowcy i pasażera.</w:t>
            </w:r>
          </w:p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3. Silnik i układ napędowy</w:t>
            </w:r>
          </w:p>
        </w:tc>
      </w:tr>
      <w:tr>
        <w:trPr>
          <w:trHeight w:val="948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jc w:val="both"/>
              <w:rPr/>
            </w:pPr>
            <w:r>
              <w:rPr>
                <w:rFonts w:cs="Arial"/>
                <w:szCs w:val="24"/>
              </w:rPr>
              <w:t>3.1.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>Silnik diesla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Pojemność skokowa -  od 1800cm³ do 2200 cm³</w:t>
            </w:r>
          </w:p>
          <w:p>
            <w:pPr>
              <w:pStyle w:val="Normal"/>
              <w:widowControl w:val="false"/>
              <w:spacing w:lineRule="auto" w:line="240" w:before="0" w:after="0"/>
              <w:ind w:left="10" w:hanging="0"/>
              <w:rPr/>
            </w:pPr>
            <w:r>
              <w:rPr/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rFonts w:cs="Arial"/>
                <w:b/>
                <w:szCs w:val="24"/>
              </w:rPr>
              <w:t>Podać parametry silnika: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/>
            </w:pPr>
            <w:r>
              <w:rPr>
                <w:rFonts w:cs="Arial"/>
                <w:b/>
              </w:rPr>
              <w:t>pojemność skokowa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/>
            </w:pPr>
            <w:r>
              <w:rPr>
                <w:rFonts w:cs="Arial"/>
                <w:b/>
              </w:rPr>
              <w:t>moc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/>
            </w:pPr>
            <w:r>
              <w:rPr>
                <w:rFonts w:cs="Arial"/>
                <w:b/>
              </w:rPr>
              <w:t>moment obrotowy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3.2.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>Skrzynia biegów automatyczna.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2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4. Wyposażenie: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4.1.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51" w:leader="none"/>
                <w:tab w:val="left" w:pos="907" w:leader="none"/>
                <w:tab w:val="left" w:pos="6499" w:leader="none"/>
                <w:tab w:val="left" w:pos="8534" w:leader="none"/>
                <w:tab w:val="left" w:pos="14706" w:leader="none"/>
              </w:tabs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Pojazd wyposażony w system zapobiegania poślizgowi kół podczas hamowania ABS lub równoważny.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4.2.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51" w:leader="none"/>
                <w:tab w:val="left" w:pos="907" w:leader="none"/>
                <w:tab w:val="left" w:pos="6499" w:leader="none"/>
                <w:tab w:val="left" w:pos="8534" w:leader="none"/>
                <w:tab w:val="left" w:pos="14706" w:leader="none"/>
              </w:tabs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14:ligatures w14:val="none"/>
              </w:rPr>
              <w:t>Pojazd wyposażony w system kontroli toru jazdy (ESP lub równoważny).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4.3.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51" w:leader="none"/>
                <w:tab w:val="left" w:pos="907" w:leader="none"/>
                <w:tab w:val="left" w:pos="6499" w:leader="none"/>
                <w:tab w:val="left" w:pos="8534" w:leader="none"/>
                <w:tab w:val="left" w:pos="14706" w:leader="none"/>
              </w:tabs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Minimum jedno zabezpieczenie antykradzieżowe (np. immobiliser, alarm).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4.4.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>Koło zapasowe pełnowymiarowe</w:t>
            </w:r>
            <w:r>
              <w:rPr>
                <w:rFonts w:cs="Arial"/>
                <w:color w:val="000000" w:themeColor="text1"/>
                <w14:ligatures w14:val="none"/>
              </w:rPr>
              <w:t xml:space="preserve">, umieszczone i zamontowane w miejscu przewidzianym przez producenta pojazdu bazowego. </w:t>
            </w:r>
            <w:r>
              <w:rPr>
                <w:rFonts w:cs="Arial"/>
                <w:color w:val="000000" w:themeColor="text1"/>
                <w:kern w:val="0"/>
                <w:szCs w:val="24"/>
                <w14:ligatures w14:val="none"/>
              </w:rPr>
              <w:t>Rok produkcji opony nie wcześniej niż 2026.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4.5.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napToGrid w:val="false"/>
              <w:jc w:val="both"/>
              <w:rPr/>
            </w:pPr>
            <w:r>
              <w:rPr>
                <w:rFonts w:cs="Arial"/>
                <w:bCs/>
              </w:rPr>
              <w:t>Fotel kierowcy podgrzewany, z regulacją wysokości, pochylenia oparcia oraz możliwość przesunięcia do przodu i do tyłu. Wszystkie siedzenia przodem do kierunku jazdy. Fotel kierowcy wyposażony w dwa podłokietniki. Schowek pod siedzeniem pasażerskim.</w:t>
            </w:r>
          </w:p>
          <w:p>
            <w:pPr>
              <w:pStyle w:val="Standard"/>
              <w:widowControl w:val="false"/>
              <w:snapToGrid w:val="false"/>
              <w:jc w:val="both"/>
              <w:rPr/>
            </w:pPr>
            <w:r>
              <w:rPr>
                <w:rFonts w:cs="Arial"/>
                <w:bCs/>
              </w:rPr>
              <w:t>Wszystkie fotele wyposażone w zagłówki z regulacją wysokości.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4.6.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Wszystkie fotele wyposażone w trzypunktowe bezwładnościowe pasy bezpieczeństwa.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712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4.7.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Kierownica podgrzewana elektrycznie</w:t>
            </w:r>
            <w:r>
              <w:rPr>
                <w:rFonts w:cs="Arial"/>
                <w:color w:val="auto"/>
                <w:szCs w:val="24"/>
              </w:rPr>
              <w:t xml:space="preserve">, z możliwością </w:t>
            </w:r>
            <w:r>
              <w:rPr>
                <w:rFonts w:cs="Arial"/>
                <w:szCs w:val="24"/>
              </w:rPr>
              <w:t>sterowania min. radia i telefonu, regulowana w dwóch płaszczyznach.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509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4.8.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napToGrid w:val="false"/>
              <w:jc w:val="both"/>
              <w:rPr/>
            </w:pPr>
            <w:r>
              <w:rPr>
                <w:rFonts w:cs="Arial"/>
              </w:rPr>
              <w:t>Kabina  wyposażona w klimatyzację sterowaną elektronicznie.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367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4.9.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>Drzwi tylne otwierane na boki</w:t>
            </w:r>
            <w:r>
              <w:rPr>
                <w:rFonts w:cs="Arial"/>
                <w:color w:val="000000" w:themeColor="text1"/>
                <w:vertAlign w:val="superscript"/>
                <w14:ligatures w14:val="none"/>
              </w:rPr>
              <w:t>,</w:t>
            </w:r>
            <w:r>
              <w:rPr>
                <w:rFonts w:cs="Arial"/>
                <w:color w:val="000000" w:themeColor="text1"/>
                <w:szCs w:val="24"/>
              </w:rPr>
              <w:t xml:space="preserve"> </w:t>
            </w:r>
            <w:r>
              <w:rPr>
                <w:rFonts w:cs="Arial"/>
                <w:color w:val="000000" w:themeColor="text1"/>
                <w14:ligatures w14:val="none"/>
              </w:rPr>
              <w:t>z blokadą przy kącie 90</w:t>
            </w:r>
            <w:r>
              <w:rPr>
                <w:rFonts w:cs="Arial"/>
                <w:color w:val="000000" w:themeColor="text1"/>
                <w:vertAlign w:val="superscript"/>
                <w14:ligatures w14:val="none"/>
              </w:rPr>
              <w:t>0</w:t>
            </w:r>
            <w:r>
              <w:rPr>
                <w:rFonts w:cs="Arial"/>
                <w:color w:val="000000" w:themeColor="text1"/>
                <w14:ligatures w14:val="none"/>
              </w:rPr>
              <w:t xml:space="preserve"> , z </w:t>
            </w:r>
            <w:r>
              <w:rPr>
                <w:rFonts w:cs="Arial"/>
                <w:color w:val="000000" w:themeColor="text1"/>
                <w:szCs w:val="24"/>
                <w14:ligatures w14:val="none"/>
              </w:rPr>
              <w:t>możliwością otwarcia od środka.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4.10.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" w:hanging="11"/>
              <w:rPr/>
            </w:pPr>
            <w:r>
              <w:rPr>
                <w:rFonts w:cs="Arial"/>
                <w:szCs w:val="24"/>
              </w:rPr>
              <w:t>Wycieraczki automatyczne z czujnikiem deszczu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4.11.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" w:hanging="11"/>
              <w:rPr/>
            </w:pPr>
            <w:r>
              <w:rPr>
                <w:rFonts w:cs="Arial"/>
                <w:szCs w:val="24"/>
              </w:rPr>
              <w:t>Czujnik zmierzchu.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4.12.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Dywaniki podłogowe w kabinie gumowe oryginalne, dedykowane do danego typu pojazdu.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4.13.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szCs w:val="24"/>
              </w:rPr>
              <w:t>Centralny zamek sterowany zdalnie pilota  pojazdu.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4.14.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 xml:space="preserve">Gniazdo 12 V w konsoli przedniej </w:t>
            </w:r>
            <w:r>
              <w:rPr>
                <w:rFonts w:cs="Arial"/>
                <w:color w:val="000000" w:themeColor="text1"/>
                <w:kern w:val="0"/>
                <w14:ligatures w14:val="none"/>
              </w:rPr>
              <w:t xml:space="preserve">(typu „zapalniczka”) </w:t>
            </w:r>
            <w:r>
              <w:rPr>
                <w:rFonts w:cs="Arial"/>
                <w:color w:val="000000" w:themeColor="text1"/>
                <w:szCs w:val="24"/>
                <w14:ligatures w14:val="none"/>
              </w:rPr>
              <w:t>oraz minimum dwa g</w:t>
            </w:r>
            <w:r>
              <w:rPr>
                <w:rFonts w:cs="Arial"/>
                <w:color w:val="000000" w:themeColor="text1"/>
                <w:kern w:val="0"/>
                <w14:ligatures w14:val="none"/>
              </w:rPr>
              <w:t>niazda zasilania USB.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color w:val="auto"/>
                <w:szCs w:val="24"/>
              </w:rPr>
              <w:t>4.15.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auto"/>
                <w:szCs w:val="24"/>
              </w:rPr>
              <w:t>Fabrycznie montowane radio z Bluetooth z kolorowym ekranem dotykowym, z oraz kompletem głośników (minimum 4).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420" w:hRule="atLeast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szCs w:val="24"/>
              </w:rPr>
              <w:t>4.16.</w:t>
            </w:r>
          </w:p>
        </w:tc>
        <w:tc>
          <w:tcPr>
            <w:tcW w:w="10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>Pojazd wyposażony w tempomat.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420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  <w:t>4.17.</w:t>
            </w:r>
          </w:p>
        </w:tc>
        <w:tc>
          <w:tcPr>
            <w:tcW w:w="108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kern w:val="0"/>
                <w:szCs w:val="24"/>
              </w:rPr>
              <w:t>Gaśnica, trójkąt ostrzegawczy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420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  <w:t>4.18.</w:t>
            </w:r>
          </w:p>
        </w:tc>
        <w:tc>
          <w:tcPr>
            <w:tcW w:w="108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kern w:val="0"/>
                <w:szCs w:val="24"/>
              </w:rPr>
              <w:t>Apteczka spełniająca aktualne wymogi prawne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420" w:hRule="atLeast"/>
        </w:trPr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  <w:t>4.19.</w:t>
            </w:r>
          </w:p>
        </w:tc>
        <w:tc>
          <w:tcPr>
            <w:tcW w:w="108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kern w:val="0"/>
                <w:szCs w:val="24"/>
              </w:rPr>
              <w:t>Lewarek i zestaw narzędzi do wymiany kół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5. Wymagania dodatkowe</w:t>
            </w:r>
          </w:p>
        </w:tc>
      </w:tr>
      <w:tr>
        <w:trPr>
          <w:trHeight w:val="1029" w:hRule="atLeast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0" w:hanging="0"/>
              <w:jc w:val="both"/>
              <w:rPr/>
            </w:pPr>
            <w:r>
              <w:rPr>
                <w:rFonts w:cs="Arial"/>
                <w:color w:val="000000" w:themeColor="text1"/>
                <w:szCs w:val="24"/>
              </w:rPr>
              <w:t>5.1</w:t>
            </w:r>
          </w:p>
        </w:tc>
        <w:tc>
          <w:tcPr>
            <w:tcW w:w="10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4"/>
              <w:ind w:left="10" w:hanging="0"/>
              <w:rPr/>
            </w:pPr>
            <w:r>
              <w:rPr>
                <w:rFonts w:cs="Arial"/>
                <w:color w:val="000000" w:themeColor="text1"/>
                <w:szCs w:val="24"/>
              </w:rPr>
              <w:t xml:space="preserve">Wraz z przedmiotem zamówienia </w:t>
            </w:r>
            <w:r>
              <w:rPr>
                <w:rFonts w:cs="Arial"/>
                <w:color w:val="000000" w:themeColor="text1"/>
              </w:rPr>
              <w:t>Wykonawca dostarczy dokumentację niezbędną do zarejestrowania pojazdu, wynikającą z ustawy „Prawo o ruchu drogowym”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894" w:hRule="atLeast"/>
        </w:trPr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0" w:hanging="0"/>
              <w:jc w:val="both"/>
              <w:rPr/>
            </w:pPr>
            <w:r>
              <w:rPr/>
              <w:t>5.2</w:t>
            </w:r>
          </w:p>
        </w:tc>
        <w:tc>
          <w:tcPr>
            <w:tcW w:w="10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4"/>
              <w:ind w:left="10" w:hanging="0"/>
              <w:rPr/>
            </w:pPr>
            <w:r>
              <w:rPr>
                <w:rFonts w:cs="Arial"/>
                <w:color w:val="000000" w:themeColor="text1"/>
                <w:szCs w:val="24"/>
              </w:rPr>
              <w:t xml:space="preserve">Wraz z przedmiotem zamówienia </w:t>
            </w:r>
            <w:r>
              <w:rPr>
                <w:rFonts w:cs="Arial"/>
                <w:color w:val="000000" w:themeColor="text1"/>
              </w:rPr>
              <w:t>Wykonawca dostarczy dokumentację niezbędną do ubezpieczenia  pojazdu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820" w:hRule="atLeast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/>
                <w:color w:val="000000" w:themeColor="text1"/>
                <w:szCs w:val="24"/>
              </w:rPr>
              <w:t>5.3.</w:t>
            </w:r>
          </w:p>
        </w:tc>
        <w:tc>
          <w:tcPr>
            <w:tcW w:w="10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/>
                <w:color w:val="000000" w:themeColor="text1"/>
                <w:szCs w:val="24"/>
              </w:rPr>
              <w:t>Wraz z przedmiotem zamówienia Wykonawca powinien dostarczyć instrukcję obsługi w języku polskim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820" w:hRule="atLeast"/>
        </w:trPr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  <w:t>5.4</w:t>
            </w:r>
          </w:p>
        </w:tc>
        <w:tc>
          <w:tcPr>
            <w:tcW w:w="10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>Wraz z przedmiotem zamówienia Wykonawca dostarczy książkę gwarancyjną, książkę serwisową, świadectwo homologacji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>Nie spełnia</w:t>
            </w:r>
          </w:p>
        </w:tc>
      </w:tr>
      <w:tr>
        <w:trPr>
          <w:trHeight w:val="820" w:hRule="atLeast"/>
        </w:trPr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/>
              <w:t>5.5.</w:t>
            </w:r>
          </w:p>
        </w:tc>
        <w:tc>
          <w:tcPr>
            <w:tcW w:w="10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  <w:t>Minimum 2 komplety kluczyków do samochodu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/>
                <w:b/>
                <w:color w:val="auto"/>
                <w:szCs w:val="24"/>
              </w:rPr>
              <w:t>Spełnia/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color w:val="000000" w:themeColor="text1"/>
                <w:szCs w:val="24"/>
              </w:rPr>
              <w:t>Nie spełnia</w:t>
            </w:r>
          </w:p>
        </w:tc>
      </w:tr>
      <w:tr>
        <w:trPr/>
        <w:tc>
          <w:tcPr>
            <w:tcW w:w="153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szCs w:val="24"/>
              </w:rPr>
              <w:t xml:space="preserve">  </w:t>
            </w:r>
            <w:r>
              <w:rPr>
                <w:rFonts w:cs="Arial"/>
                <w:b/>
                <w:szCs w:val="24"/>
              </w:rPr>
              <w:t>6. Gwarancja</w:t>
            </w:r>
          </w:p>
        </w:tc>
      </w:tr>
      <w:tr>
        <w:trPr>
          <w:trHeight w:val="494" w:hRule="atLeast"/>
        </w:trPr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hanging="0"/>
              <w:jc w:val="both"/>
              <w:rPr/>
            </w:pPr>
            <w:r>
              <w:rPr>
                <w:rFonts w:cs="Arial"/>
                <w:color w:val="000000" w:themeColor="text1"/>
                <w:szCs w:val="24"/>
              </w:rPr>
              <w:t>6.1.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-70" w:hanging="10"/>
              <w:rPr/>
            </w:pPr>
            <w:r>
              <w:rPr>
                <w:rFonts w:cs="Arial"/>
                <w:szCs w:val="24"/>
              </w:rPr>
              <w:t>Gwarancja mechaniczna na pojazd – minimum 24 miesiące</w:t>
            </w:r>
            <w:r>
              <w:rPr>
                <w:rFonts w:cs="Arial"/>
                <w:kern w:val="0"/>
                <w:szCs w:val="24"/>
                <w14:ligatures w14:val="none"/>
              </w:rPr>
              <w:t>, bez limitu kilometrów.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color w:val="000000" w:themeColor="text1"/>
                <w:szCs w:val="24"/>
              </w:rPr>
              <w:t>Podać długość okresu gwarancji</w:t>
            </w:r>
          </w:p>
        </w:tc>
      </w:tr>
      <w:tr>
        <w:trPr>
          <w:trHeight w:val="499" w:hRule="atLeast"/>
        </w:trPr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hanging="0"/>
              <w:jc w:val="both"/>
              <w:rPr/>
            </w:pPr>
            <w:r>
              <w:rPr>
                <w:rFonts w:cs="Arial"/>
                <w:color w:val="000000" w:themeColor="text1"/>
                <w:szCs w:val="24"/>
              </w:rPr>
              <w:t>6.2.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-70" w:hanging="10"/>
              <w:rPr/>
            </w:pPr>
            <w:r>
              <w:rPr>
                <w:rFonts w:cs="Arial"/>
                <w:szCs w:val="24"/>
              </w:rPr>
              <w:t>Gwarancja na powłokę lakierniczą – minimum 24 miesiące.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color w:val="000000" w:themeColor="text1"/>
                <w:szCs w:val="24"/>
              </w:rPr>
              <w:t>Podać długość okresu gwarancji</w:t>
            </w:r>
          </w:p>
        </w:tc>
      </w:tr>
      <w:tr>
        <w:trPr>
          <w:trHeight w:val="524" w:hRule="atLeast"/>
        </w:trPr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hanging="0"/>
              <w:jc w:val="both"/>
              <w:rPr/>
            </w:pPr>
            <w:r>
              <w:rPr>
                <w:rFonts w:cs="Arial"/>
                <w:color w:val="000000" w:themeColor="text1"/>
                <w:szCs w:val="24"/>
              </w:rPr>
              <w:t>6.3.</w:t>
            </w:r>
          </w:p>
        </w:tc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-70" w:hanging="10"/>
              <w:rPr/>
            </w:pPr>
            <w:r>
              <w:rPr>
                <w:rFonts w:cs="Arial"/>
                <w:szCs w:val="24"/>
              </w:rPr>
              <w:t>Gwarancja na perforację nadwozia – minimum 10 lat.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color w:val="000000" w:themeColor="text1"/>
                <w:szCs w:val="24"/>
              </w:rPr>
              <w:t>Podać długość okresu gwarancji</w:t>
            </w:r>
          </w:p>
        </w:tc>
      </w:tr>
      <w:tr>
        <w:trPr>
          <w:trHeight w:val="692" w:hRule="atLeast"/>
        </w:trPr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hanging="0"/>
              <w:jc w:val="both"/>
              <w:rPr/>
            </w:pPr>
            <w:r>
              <w:rPr>
                <w:rFonts w:cs="Arial"/>
                <w:color w:val="000000" w:themeColor="text1"/>
                <w:szCs w:val="24"/>
              </w:rPr>
              <w:t>6.4.</w:t>
            </w:r>
          </w:p>
        </w:tc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-70" w:hanging="10"/>
              <w:rPr/>
            </w:pPr>
            <w:r>
              <w:rPr>
                <w:rFonts w:cs="Arial"/>
                <w:color w:val="000000" w:themeColor="text1"/>
                <w:szCs w:val="24"/>
              </w:rPr>
              <w:t>Serwis gwarancyjny i pogwarancyjny w autoryzowanej stacji w Białymstoku lu miejscowości bezpośrednio przylegającej – wskazać najbliższy serwis.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5" w:right="-70" w:hanging="10"/>
              <w:jc w:val="center"/>
              <w:rPr/>
            </w:pPr>
            <w:r>
              <w:rPr>
                <w:rFonts w:cs="Arial"/>
                <w:b/>
                <w:color w:val="000000" w:themeColor="text1"/>
                <w:szCs w:val="24"/>
              </w:rPr>
              <w:t>Podać adres serwisu</w:t>
            </w:r>
          </w:p>
        </w:tc>
      </w:tr>
    </w:tbl>
    <w:p>
      <w:pPr>
        <w:pStyle w:val="Normal"/>
        <w:spacing w:lineRule="atLeast" w:line="0"/>
        <w:ind w:left="4" w:hanging="0"/>
        <w:rPr>
          <w:rFonts w:eastAsia="Trebuchet MS"/>
          <w:szCs w:val="24"/>
          <w:u w:val="single"/>
        </w:rPr>
      </w:pPr>
      <w:r>
        <w:rPr>
          <w:rFonts w:eastAsia="Trebuchet MS"/>
          <w:szCs w:val="24"/>
          <w:u w:val="single"/>
        </w:rPr>
        <w:t>Informacja dla Wykonawcy:</w:t>
      </w:r>
    </w:p>
    <w:p>
      <w:pPr>
        <w:pStyle w:val="Normal"/>
        <w:spacing w:lineRule="exact" w:line="123"/>
        <w:rPr>
          <w:rFonts w:eastAsia="Trebuchet MS"/>
          <w:szCs w:val="24"/>
          <w:u w:val="single"/>
        </w:rPr>
      </w:pPr>
      <w:r>
        <w:rPr>
          <w:rFonts w:eastAsia="Trebuchet MS"/>
          <w:szCs w:val="24"/>
          <w:u w:val="single"/>
        </w:rPr>
      </w:r>
    </w:p>
    <w:p>
      <w:pPr>
        <w:pStyle w:val="Normal"/>
        <w:spacing w:lineRule="auto" w:line="240" w:before="0" w:after="4"/>
        <w:ind w:left="4" w:hanging="0"/>
        <w:rPr>
          <w:rFonts w:eastAsia="Trebuchet MS"/>
          <w:szCs w:val="24"/>
        </w:rPr>
      </w:pPr>
      <w:r>
        <w:rPr>
          <w:rFonts w:eastAsia="Trebuchet MS"/>
          <w:b/>
          <w:bCs/>
          <w:sz w:val="22"/>
        </w:rPr>
        <w:t xml:space="preserve">Formularz musi być opatrzony podpisem przez osobę lub osoby uprawnione do reprezentowania firmy w przypadku złożenia dokumentów w wersji papierowej – własnoręcznym czytelnym podpisem wraz z pieczątką firmy lub w przypadku złożenia dokumentów w wersji elektronicznej podpisem elektronicznym </w:t>
      </w:r>
    </w:p>
    <w:sectPr>
      <w:headerReference w:type="default" r:id="rId2"/>
      <w:type w:val="nextPage"/>
      <w:pgSz w:orient="landscape" w:w="16838" w:h="11906"/>
      <w:pgMar w:left="1417" w:right="1417" w:gutter="0" w:header="1417" w:top="2015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Garamond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pacing w:before="0" w:after="4"/>
      <w:jc w:val="right"/>
      <w:rPr/>
    </w:pPr>
    <w:r>
      <w:rPr/>
      <w:t>Nr postępowania DDPS.26.4.2026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Garamond" w:hAnsi="Garamond" w:cs="Garamond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77dbd"/>
    <w:pPr>
      <w:widowControl/>
      <w:suppressAutoHyphens w:val="true"/>
      <w:bidi w:val="0"/>
      <w:spacing w:lineRule="auto" w:line="271" w:before="0" w:after="4"/>
      <w:ind w:left="10" w:hanging="10"/>
      <w:jc w:val="both"/>
    </w:pPr>
    <w:rPr>
      <w:rFonts w:ascii="Times New Roman" w:hAnsi="Times New Roman" w:eastAsia="Times New Roman" w:cs="Times New Roman"/>
      <w:color w:val="000000"/>
      <w:kern w:val="2"/>
      <w:sz w:val="24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kapitzlistZnak" w:customStyle="1">
    <w:name w:val="Akapit z listą Znak"/>
    <w:link w:val="ListParagraph"/>
    <w:uiPriority w:val="34"/>
    <w:qFormat/>
    <w:locked/>
    <w:rsid w:val="00c77dbd"/>
    <w:rPr>
      <w:rFonts w:ascii="Times New Roman" w:hAnsi="Times New Roman" w:eastAsia="Times New Roman" w:cs="Times New Roman"/>
      <w:color w:val="000000"/>
      <w:sz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0540c"/>
    <w:rPr>
      <w:rFonts w:ascii="Tahoma" w:hAnsi="Tahoma" w:eastAsia="Times New Roman" w:cs="Tahoma"/>
      <w:color w:val="000000"/>
      <w:sz w:val="16"/>
      <w:szCs w:val="16"/>
      <w:lang w:eastAsia="pl-PL"/>
    </w:rPr>
  </w:style>
  <w:style w:type="character" w:styleId="TekstpodstawowyZnak" w:customStyle="1">
    <w:name w:val="Tekst podstawowy Znak"/>
    <w:basedOn w:val="DefaultParagraphFont"/>
    <w:link w:val="Textbody"/>
    <w:qFormat/>
    <w:rsid w:val="0035107a"/>
    <w:rPr>
      <w:rFonts w:ascii="Times New Roman" w:hAnsi="Times New Roman" w:eastAsia="Times New Roman" w:cs="Times New Roman"/>
      <w:kern w:val="0"/>
      <w:sz w:val="20"/>
      <w:szCs w:val="20"/>
      <w:lang w:eastAsia="pl-PL" w:bidi="pl-PL"/>
      <w14:ligatures w14:val="none"/>
    </w:rPr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character" w:styleId="Znakinumeracji" w:customStyle="1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nhideWhenUsed/>
    <w:qFormat/>
    <w:rsid w:val="0035107a"/>
    <w:pPr>
      <w:widowControl w:val="false"/>
      <w:spacing w:lineRule="auto" w:line="240" w:before="4" w:after="0"/>
      <w:ind w:left="40" w:hanging="0"/>
      <w:jc w:val="left"/>
    </w:pPr>
    <w:rPr>
      <w:color w:val="auto"/>
      <w:kern w:val="0"/>
      <w:sz w:val="20"/>
      <w:szCs w:val="20"/>
      <w:lang w:bidi="pl-PL"/>
      <w14:ligatures w14:val="none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>
      <w:suppressLineNumbers/>
      <w:tabs>
        <w:tab w:val="clear" w:pos="708"/>
        <w:tab w:val="center" w:pos="7002" w:leader="none"/>
        <w:tab w:val="right" w:pos="14004" w:leader="none"/>
      </w:tabs>
    </w:pPr>
    <w:rPr/>
  </w:style>
  <w:style w:type="paragraph" w:styleId="Gwka">
    <w:name w:val="Header"/>
    <w:basedOn w:val="Gwkaistopka"/>
    <w:next w:val="Tretekstu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ListParagraph">
    <w:name w:val="List Paragraph"/>
    <w:basedOn w:val="Normal"/>
    <w:link w:val="AkapitzlistZnak"/>
    <w:uiPriority w:val="34"/>
    <w:qFormat/>
    <w:rsid w:val="00c77dbd"/>
    <w:pPr>
      <w:spacing w:before="0" w:after="4"/>
      <w:ind w:left="720" w:hanging="10"/>
      <w:contextualSpacing/>
    </w:pPr>
    <w:rPr/>
  </w:style>
  <w:style w:type="paragraph" w:styleId="NoSpacing">
    <w:name w:val="No Spacing"/>
    <w:qFormat/>
    <w:rsid w:val="00c77db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  <w14:ligatures w14:val="none"/>
    </w:rPr>
  </w:style>
  <w:style w:type="paragraph" w:styleId="Standard" w:customStyle="1">
    <w:name w:val="Standard"/>
    <w:qFormat/>
    <w:rsid w:val="00c77dbd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rial Unicode MS" w:cs="Mangal"/>
      <w:color w:val="auto"/>
      <w:kern w:val="2"/>
      <w:sz w:val="24"/>
      <w:szCs w:val="24"/>
      <w:lang w:val="pl-PL" w:eastAsia="zh-CN" w:bidi="hi-IN"/>
      <w14:ligatures w14:val="none"/>
    </w:rPr>
  </w:style>
  <w:style w:type="paragraph" w:styleId="Default" w:customStyle="1">
    <w:name w:val="Default"/>
    <w:qFormat/>
    <w:rsid w:val="00c77db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  <w14:ligatures w14:val="none"/>
    </w:rPr>
  </w:style>
  <w:style w:type="paragraph" w:styleId="Styl1" w:customStyle="1">
    <w:name w:val="Styl1"/>
    <w:basedOn w:val="Normal"/>
    <w:uiPriority w:val="99"/>
    <w:qFormat/>
    <w:rsid w:val="00300904"/>
    <w:pPr>
      <w:widowControl w:val="false"/>
      <w:spacing w:lineRule="auto" w:line="240" w:before="0" w:after="0"/>
      <w:ind w:left="0" w:hanging="0"/>
    </w:pPr>
    <w:rPr>
      <w:color w:val="auto"/>
      <w:kern w:val="0"/>
      <w:szCs w:val="24"/>
      <w:lang w:eastAsia="ar-SA"/>
      <w14:ligatures w14:val="none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0540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e715b5"/>
    <w:pPr>
      <w:spacing w:lineRule="auto" w:line="240" w:beforeAutospacing="1" w:after="0"/>
      <w:ind w:left="0" w:hanging="0"/>
    </w:pPr>
    <w:rPr>
      <w:kern w:val="0"/>
      <w:sz w:val="28"/>
      <w:szCs w:val="28"/>
      <w14:ligatures w14:val="none"/>
    </w:rPr>
  </w:style>
  <w:style w:type="paragraph" w:styleId="Akapitzlist1" w:customStyle="1">
    <w:name w:val="Akapit z listą1"/>
    <w:basedOn w:val="Normal"/>
    <w:qFormat/>
    <w:rsid w:val="0035107a"/>
    <w:pPr>
      <w:widowControl w:val="false"/>
      <w:spacing w:lineRule="atLeast" w:line="100" w:before="0" w:after="0"/>
      <w:ind w:left="708" w:hanging="0"/>
      <w:jc w:val="left"/>
    </w:pPr>
    <w:rPr>
      <w:color w:val="auto"/>
      <w:kern w:val="0"/>
      <w:szCs w:val="20"/>
      <w:lang w:eastAsia="ar-SA"/>
      <w14:ligatures w14:val="none"/>
    </w:rPr>
  </w:style>
  <w:style w:type="paragraph" w:styleId="Textbody" w:customStyle="1">
    <w:name w:val="Text body"/>
    <w:basedOn w:val="Normal"/>
    <w:link w:val="TekstpodstawowyZnak"/>
    <w:qFormat/>
    <w:rsid w:val="0035107a"/>
    <w:pPr>
      <w:spacing w:lineRule="auto" w:line="240" w:before="0" w:after="0"/>
      <w:ind w:left="0" w:hanging="0"/>
      <w:jc w:val="left"/>
      <w:textAlignment w:val="baseline"/>
    </w:pPr>
    <w:rPr>
      <w:b/>
      <w:bCs/>
      <w:color w:val="auto"/>
      <w:kern w:val="0"/>
      <w:szCs w:val="24"/>
      <w14:ligatures w14:val="none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2A120-6C4E-420B-976A-7E5CF55A6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Application>LibreOffice/7.4.2.3$Windows_X86_64 LibreOffice_project/382eef1f22670f7f4118c8c2dd222ec7ad009daf</Application>
  <AppVersion>15.0000</AppVersion>
  <Pages>6</Pages>
  <Words>1180</Words>
  <Characters>7542</Characters>
  <CharactersWithSpaces>8490</CharactersWithSpaces>
  <Paragraphs>243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2026-07-09T10:34:00Z</dcterms:created>
  <dc:creator>Oliwia Majewska</dc:creator>
  <dc:description/>
  <dc:language>pl-PL</dc:language>
  <cp:lastModifiedBy/>
  <cp:lastPrinted>2026-09-09T08:13:00Z</cp:lastPrinted>
  <dcterms:modified xsi:type="dcterms:W3CDTF">2026-09-14T11:36:31Z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